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80"/>
      </w:pPr>
      <w:r>
        <w:rPr>
          <w:rFonts w:ascii="Arial" w:hAnsi="Arial"/>
          <w:b/>
          <w:i w:val="0"/>
          <w:color w:val="147D7E"/>
          <w:sz w:val="18"/>
        </w:rPr>
        <w:t>TRUESCALE ADVISORY</w:t>
      </w:r>
    </w:p>
    <w:p>
      <w:pPr>
        <w:spacing w:before="360" w:after="240"/>
      </w:pPr>
      <w:r>
        <w:rPr>
          <w:rFonts w:ascii="Georgia" w:hAnsi="Georgia"/>
          <w:b/>
          <w:i w:val="0"/>
          <w:color w:val="102A43"/>
          <w:sz w:val="60"/>
        </w:rPr>
        <w:t>The TrueScale Playbook™</w:t>
      </w:r>
    </w:p>
    <w:p>
      <w:pPr>
        <w:spacing w:after="480"/>
      </w:pPr>
      <w:r>
        <w:rPr>
          <w:rFonts w:ascii="Georgia" w:hAnsi="Georgia"/>
          <w:b w:val="0"/>
          <w:i/>
          <w:color w:val="5E6A73"/>
          <w:sz w:val="28"/>
        </w:rPr>
        <w:t>Executive Worksheet Package</w:t>
      </w:r>
    </w:p>
    <w:p>
      <w:r>
        <w:rPr>
          <w:rFonts w:ascii="Arial" w:hAnsi="Arial"/>
          <w:b/>
          <w:i w:val="0"/>
          <w:color w:val="B3862B"/>
          <w:sz w:val="16"/>
        </w:rPr>
        <w:t>COMPANION TOOLS FOR EXECUTIVE USE</w:t>
      </w:r>
    </w:p>
    <w:p>
      <w:pPr>
        <w:pStyle w:val="Heading1"/>
        <w:keepNext/>
        <w:spacing w:before="300" w:after="120"/>
      </w:pPr>
      <w:r>
        <w:rPr>
          <w:rFonts w:ascii="Arial" w:hAnsi="Arial"/>
          <w:b/>
          <w:i w:val="0"/>
          <w:color w:val="000000"/>
          <w:sz w:val="42"/>
        </w:rPr>
        <w:t>How to use this package</w:t>
      </w:r>
    </w:p>
    <w:p>
      <w:pPr>
        <w:keepNext w:val="0"/>
        <w:keepLines/>
      </w:pPr>
      <w:r>
        <w:rPr>
          <w:rFonts w:ascii="Georgia" w:hAnsi="Georgia"/>
          <w:b w:val="0"/>
          <w:i w:val="0"/>
          <w:color w:val="17212B"/>
          <w:sz w:val="21"/>
        </w:rPr>
        <w:t>Use one tool around one priority constraint. Complete the blank worksheet first, then compare the level of specificity with the clearly labeled hypothetical example. Replace every teaching assumption with the organization's own evidence.</w:t>
      </w:r>
    </w:p>
    <w:p>
      <w:pPr>
        <w:keepNext w:val="0"/>
        <w:keepLines/>
      </w:pPr>
      <w:r>
        <w:rPr>
          <w:rFonts w:ascii="Georgia" w:hAnsi="Georgia"/>
          <w:b w:val="0"/>
          <w:i w:val="0"/>
          <w:color w:val="17212B"/>
          <w:sz w:val="21"/>
        </w:rPr>
        <w:t>The worksheets are educational management tools. Financial examples are hypothetical, and the Executive Self-Assessment is not a statistically validated diagnostic, audit, or prediction of business performance.</w:t>
      </w:r>
    </w:p>
    <w:p>
      <w:r>
        <w:br w:type="page"/>
      </w:r>
    </w:p>
    <w:p>
      <w:pPr>
        <w:keepNext/>
        <w:spacing w:before="220" w:after="60"/>
        <w:shd w:fill="F2F4F5"/>
        <w:pBdr>
          <w:left w:val="single" w:sz="18" w:color="102A43" w:space="12"/>
        </w:pBdr>
        <w:ind w:left="288" w:right="230"/>
      </w:pPr>
      <w:r>
        <w:rPr>
          <w:rFonts w:ascii="Arial" w:hAnsi="Arial"/>
          <w:b/>
          <w:i w:val="0"/>
          <w:color w:val="B3862B"/>
          <w:sz w:val="16"/>
        </w:rPr>
        <w:t>EXECUTIVE TOOL</w:t>
      </w:r>
    </w:p>
    <w:p>
      <w:pPr>
        <w:keepNext/>
        <w:spacing w:after="140"/>
        <w:shd w:fill="F2F4F5"/>
        <w:pBdr>
          <w:left w:val="single" w:sz="18" w:color="102A43" w:space="12"/>
        </w:pBdr>
        <w:ind w:left="288" w:right="230"/>
      </w:pPr>
      <w:r>
        <w:rPr>
          <w:rFonts w:ascii="Georgia" w:hAnsi="Georgia"/>
          <w:b/>
          <w:i w:val="0"/>
          <w:color w:val="102A43"/>
          <w:sz w:val="32"/>
        </w:rPr>
        <w:t>Operational Debt Ledger</w:t>
      </w:r>
    </w:p>
    <w:tbl>
      <w:tblPr>
        <w:tblW w:type="auto" w:w="0"/>
        <w:jc w:val="center"/>
        <w:tblLayout w:type="autofit"/>
        <w:tblLook w:firstColumn="1" w:firstRow="1" w:lastColumn="0" w:lastRow="0" w:noHBand="0" w:noVBand="1" w:val="04A0"/>
      </w:tblPr>
      <w:tblGrid>
        <w:gridCol w:w="4766"/>
        <w:gridCol w:w="4766"/>
      </w:tblGrid>
      <w:tr>
        <w:trPr>
          <w:cantSplit/>
          <w:tblHeader w:val="true"/>
        </w:trPr>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Ledger field</w:t>
            </w:r>
          </w:p>
        </w:tc>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Executive entry</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Constraint or problem</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Observable behavior</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Frequency or volume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Affected teams, people, or customers</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Evidence source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Evidence status</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Verified / Estimated / Unknown</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Avoidable expense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Recoverable capacity and intended redeployment</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Potential exposure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Overlap assumptions</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Shared operating mechanism</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Proposed intervention</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Accountable executive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Measurement and review date</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tc>
      </w:tr>
    </w:tbl>
    <w:p>
      <w:pPr>
        <w:keepNext/>
        <w:spacing w:before="220" w:after="60"/>
        <w:shd w:fill="F2F4F5"/>
        <w:pBdr>
          <w:left w:val="single" w:sz="18" w:color="102A43" w:space="12"/>
        </w:pBdr>
        <w:ind w:left="288" w:right="230"/>
      </w:pPr>
      <w:r>
        <w:rPr>
          <w:rFonts w:ascii="Arial" w:hAnsi="Arial"/>
          <w:b/>
          <w:i w:val="0"/>
          <w:color w:val="B3862B"/>
          <w:sz w:val="16"/>
        </w:rPr>
        <w:t>WORKED HYPOTHETICAL</w:t>
      </w:r>
    </w:p>
    <w:p>
      <w:pPr>
        <w:keepNext/>
        <w:spacing w:after="140"/>
        <w:shd w:fill="F2F4F5"/>
        <w:pBdr>
          <w:left w:val="single" w:sz="18" w:color="102A43" w:space="12"/>
        </w:pBdr>
        <w:ind w:left="288" w:right="230"/>
      </w:pPr>
      <w:r>
        <w:rPr>
          <w:rFonts w:ascii="Georgia" w:hAnsi="Georgia"/>
          <w:b/>
          <w:i w:val="0"/>
          <w:color w:val="102A43"/>
          <w:sz w:val="32"/>
        </w:rPr>
        <w:t>Completed Hypothetical Ledger</w:t>
      </w:r>
    </w:p>
    <w:tbl>
      <w:tblPr>
        <w:tblW w:type="auto" w:w="0"/>
        <w:jc w:val="center"/>
        <w:tblLayout w:type="autofit"/>
        <w:tblLook w:firstColumn="1" w:firstRow="1" w:lastColumn="0" w:lastRow="0" w:noHBand="0" w:noVBand="1" w:val="04A0"/>
      </w:tblPr>
      <w:tblGrid>
        <w:gridCol w:w="4766"/>
        <w:gridCol w:w="4766"/>
      </w:tblGrid>
      <w:tr>
        <w:trPr>
          <w:cantSplit/>
          <w:tblHeader w:val="true"/>
        </w:trPr>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Field</w:t>
            </w:r>
          </w:p>
        </w:tc>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Completed teaching example</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Constraint</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Customer-support exceptions repeatedly reach managers because the approval rule is unclear.</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Behavior and frequency</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2,000 cases per month require 8 avoidable minutes of correction; 12 managers each spend 4 avoidable hours per week on rescue.</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Affected groups</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Customer-support specialists, managers, new hires, and four at-risk customer accounts.</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Evidence status</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Illustrative assumptions only; replace with internal workflow, payroll, hiring, and customer evidence.</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Avoidable expense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$144,000: 8 preventable departures × $18,000 of nonoverlapping recruiting fees and vacancy coverage.</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Recoverable capacity</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$381,100: rework $112,000 + management rescue $187,200 + new-hire ramp $57,600 + trainer support $24,300. Intended redeployment: coaching, backlog reduction, and improvement work.</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Potential exposure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$200,000 gross customer contribution at risk: 4 customers × $50,000. Not a forecast or savings claim.</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Overlap rule</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Turnover excludes ramp, trainer, and manager hours counted elsewhere; management rescue excludes trainer time.</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Mechanism and intervention</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Unclear exception authority. Install approval thresholds, required evidence, and an escalation owner.</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Owner and review</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Hypothetical COO; review weekly for eight weeks.</w:t>
            </w:r>
          </w:p>
        </w:tc>
      </w:tr>
    </w:tbl>
    <w:p>
      <w:pPr>
        <w:keepNext/>
        <w:pageBreakBefore/>
        <w:spacing w:after="0"/>
      </w:pPr>
      <w:r>
        <w:rPr>
          <w:rFonts w:ascii="Arial" w:hAnsi="Arial"/>
          <w:b w:val="0"/>
          <w:i w:val="0"/>
          <w:color w:val="FFFFFF"/>
          <w:sz w:val="2"/>
        </w:rPr>
        <w:t xml:space="preserve"> </w:t>
      </w:r>
    </w:p>
    <w:p>
      <w:pPr>
        <w:keepNext/>
        <w:spacing w:before="220" w:after="60"/>
        <w:shd w:fill="F2F4F5"/>
        <w:pBdr>
          <w:left w:val="single" w:sz="18" w:color="102A43" w:space="12"/>
        </w:pBdr>
        <w:ind w:left="288" w:right="230"/>
      </w:pPr>
      <w:r>
        <w:rPr>
          <w:rFonts w:ascii="Arial" w:hAnsi="Arial"/>
          <w:b/>
          <w:i w:val="0"/>
          <w:color w:val="B3862B"/>
          <w:sz w:val="16"/>
        </w:rPr>
        <w:t>EDITABLE PROFILE</w:t>
      </w:r>
    </w:p>
    <w:p>
      <w:pPr>
        <w:keepNext/>
        <w:spacing w:after="140"/>
        <w:shd w:fill="F2F4F5"/>
        <w:pBdr>
          <w:left w:val="single" w:sz="18" w:color="102A43" w:space="12"/>
        </w:pBdr>
        <w:ind w:left="288" w:right="230"/>
      </w:pPr>
      <w:r>
        <w:rPr>
          <w:rFonts w:ascii="Georgia" w:hAnsi="Georgia"/>
          <w:b/>
          <w:i w:val="0"/>
          <w:color w:val="102A43"/>
          <w:sz w:val="32"/>
        </w:rPr>
        <w:t>Blank Four-Domain Profile</w:t>
      </w:r>
    </w:p>
    <w:tbl>
      <w:tblPr>
        <w:tblW w:type="auto" w:w="0"/>
        <w:jc w:val="center"/>
        <w:tblLayout w:type="autofit"/>
        <w:tblLook w:firstColumn="1" w:firstRow="1" w:lastColumn="0" w:lastRow="0" w:noHBand="0" w:noVBand="1" w:val="04A0"/>
      </w:tblPr>
      <w:tblGrid>
        <w:gridCol w:w="1362"/>
        <w:gridCol w:w="1362"/>
        <w:gridCol w:w="1362"/>
        <w:gridCol w:w="1362"/>
        <w:gridCol w:w="1362"/>
        <w:gridCol w:w="1362"/>
        <w:gridCol w:w="1362"/>
      </w:tblGrid>
      <w:tr>
        <w:trPr>
          <w:cantSplit/>
          <w:tblHeader w:val="true"/>
        </w:trPr>
        <w:tc>
          <w:tcPr>
            <w:tcW w:type="dxa" w:w="1362"/>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4"/>
              </w:rPr>
              <w:t>Domain</w:t>
            </w:r>
          </w:p>
        </w:tc>
        <w:tc>
          <w:tcPr>
            <w:tcW w:type="dxa" w:w="1362"/>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4"/>
              </w:rPr>
              <w:t>1</w:t>
            </w:r>
          </w:p>
        </w:tc>
        <w:tc>
          <w:tcPr>
            <w:tcW w:type="dxa" w:w="1362"/>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4"/>
              </w:rPr>
              <w:t>2</w:t>
            </w:r>
          </w:p>
        </w:tc>
        <w:tc>
          <w:tcPr>
            <w:tcW w:type="dxa" w:w="1362"/>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4"/>
              </w:rPr>
              <w:t>3</w:t>
            </w:r>
          </w:p>
        </w:tc>
        <w:tc>
          <w:tcPr>
            <w:tcW w:type="dxa" w:w="1362"/>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4"/>
              </w:rPr>
              <w:t>4</w:t>
            </w:r>
          </w:p>
        </w:tc>
        <w:tc>
          <w:tcPr>
            <w:tcW w:type="dxa" w:w="1362"/>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4"/>
              </w:rPr>
              <w:t>5</w:t>
            </w:r>
          </w:p>
        </w:tc>
        <w:tc>
          <w:tcPr>
            <w:tcW w:type="dxa" w:w="1362"/>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4"/>
              </w:rPr>
              <w:t>Average</w:t>
            </w:r>
          </w:p>
        </w:tc>
      </w:tr>
      <w:tr>
        <w:trPr>
          <w:cantSplit/>
        </w:trPr>
        <w:tc>
          <w:tcPr>
            <w:tcW w:type="dxa" w:w="1362"/>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6"/>
              </w:rPr>
              <w:t>Assess</w:t>
            </w:r>
          </w:p>
        </w:tc>
        <w:tc>
          <w:tcPr>
            <w:tcW w:type="dxa" w:w="1362"/>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6"/>
              </w:rPr>
              <w:t>○</w:t>
            </w:r>
          </w:p>
        </w:tc>
        <w:tc>
          <w:tcPr>
            <w:tcW w:type="dxa" w:w="1362"/>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6"/>
              </w:rPr>
              <w:t>○</w:t>
            </w:r>
          </w:p>
        </w:tc>
        <w:tc>
          <w:tcPr>
            <w:tcW w:type="dxa" w:w="1362"/>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6"/>
              </w:rPr>
              <w:t>○</w:t>
            </w:r>
          </w:p>
        </w:tc>
        <w:tc>
          <w:tcPr>
            <w:tcW w:type="dxa" w:w="1362"/>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6"/>
              </w:rPr>
              <w:t>○</w:t>
            </w:r>
          </w:p>
        </w:tc>
        <w:tc>
          <w:tcPr>
            <w:tcW w:type="dxa" w:w="1362"/>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6"/>
              </w:rPr>
              <w:t>○</w:t>
            </w:r>
          </w:p>
        </w:tc>
        <w:tc>
          <w:tcPr>
            <w:tcW w:type="dxa" w:w="1362"/>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6"/>
              </w:rPr>
              <w:t>____ / 5</w:t>
            </w:r>
          </w:p>
        </w:tc>
      </w:tr>
      <w:tr>
        <w:trPr>
          <w:cantSplit/>
        </w:trPr>
        <w:tc>
          <w:tcPr>
            <w:tcW w:type="dxa" w:w="1362"/>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6"/>
              </w:rPr>
              <w:t>Stabilize</w:t>
            </w:r>
          </w:p>
        </w:tc>
        <w:tc>
          <w:tcPr>
            <w:tcW w:type="dxa" w:w="1362"/>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6"/>
              </w:rPr>
              <w:t>○</w:t>
            </w:r>
          </w:p>
        </w:tc>
        <w:tc>
          <w:tcPr>
            <w:tcW w:type="dxa" w:w="1362"/>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6"/>
              </w:rPr>
              <w:t>○</w:t>
            </w:r>
          </w:p>
        </w:tc>
        <w:tc>
          <w:tcPr>
            <w:tcW w:type="dxa" w:w="1362"/>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6"/>
              </w:rPr>
              <w:t>○</w:t>
            </w:r>
          </w:p>
        </w:tc>
        <w:tc>
          <w:tcPr>
            <w:tcW w:type="dxa" w:w="1362"/>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6"/>
              </w:rPr>
              <w:t>○</w:t>
            </w:r>
          </w:p>
        </w:tc>
        <w:tc>
          <w:tcPr>
            <w:tcW w:type="dxa" w:w="1362"/>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6"/>
              </w:rPr>
              <w:t>○</w:t>
            </w:r>
          </w:p>
        </w:tc>
        <w:tc>
          <w:tcPr>
            <w:tcW w:type="dxa" w:w="1362"/>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6"/>
              </w:rPr>
              <w:t>____ / 5</w:t>
            </w:r>
          </w:p>
        </w:tc>
      </w:tr>
      <w:tr>
        <w:trPr>
          <w:cantSplit/>
        </w:trPr>
        <w:tc>
          <w:tcPr>
            <w:tcW w:type="dxa" w:w="1362"/>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6"/>
              </w:rPr>
              <w:t>Scale</w:t>
            </w:r>
          </w:p>
        </w:tc>
        <w:tc>
          <w:tcPr>
            <w:tcW w:type="dxa" w:w="1362"/>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6"/>
              </w:rPr>
              <w:t>○</w:t>
            </w:r>
          </w:p>
        </w:tc>
        <w:tc>
          <w:tcPr>
            <w:tcW w:type="dxa" w:w="1362"/>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6"/>
              </w:rPr>
              <w:t>○</w:t>
            </w:r>
          </w:p>
        </w:tc>
        <w:tc>
          <w:tcPr>
            <w:tcW w:type="dxa" w:w="1362"/>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6"/>
              </w:rPr>
              <w:t>○</w:t>
            </w:r>
          </w:p>
        </w:tc>
        <w:tc>
          <w:tcPr>
            <w:tcW w:type="dxa" w:w="1362"/>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6"/>
              </w:rPr>
              <w:t>○</w:t>
            </w:r>
          </w:p>
        </w:tc>
        <w:tc>
          <w:tcPr>
            <w:tcW w:type="dxa" w:w="1362"/>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6"/>
              </w:rPr>
              <w:t>○</w:t>
            </w:r>
          </w:p>
        </w:tc>
        <w:tc>
          <w:tcPr>
            <w:tcW w:type="dxa" w:w="1362"/>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6"/>
              </w:rPr>
              <w:t>____ / 5</w:t>
            </w:r>
          </w:p>
        </w:tc>
      </w:tr>
      <w:tr>
        <w:trPr>
          <w:cantSplit/>
        </w:trPr>
        <w:tc>
          <w:tcPr>
            <w:tcW w:type="dxa" w:w="1362"/>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6"/>
              </w:rPr>
              <w:t>Accelerate</w:t>
            </w:r>
          </w:p>
        </w:tc>
        <w:tc>
          <w:tcPr>
            <w:tcW w:type="dxa" w:w="1362"/>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6"/>
              </w:rPr>
              <w:t>○</w:t>
            </w:r>
          </w:p>
        </w:tc>
        <w:tc>
          <w:tcPr>
            <w:tcW w:type="dxa" w:w="1362"/>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6"/>
              </w:rPr>
              <w:t>○</w:t>
            </w:r>
          </w:p>
        </w:tc>
        <w:tc>
          <w:tcPr>
            <w:tcW w:type="dxa" w:w="1362"/>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6"/>
              </w:rPr>
              <w:t>○</w:t>
            </w:r>
          </w:p>
        </w:tc>
        <w:tc>
          <w:tcPr>
            <w:tcW w:type="dxa" w:w="1362"/>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6"/>
              </w:rPr>
              <w:t>○</w:t>
            </w:r>
          </w:p>
        </w:tc>
        <w:tc>
          <w:tcPr>
            <w:tcW w:type="dxa" w:w="1362"/>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6"/>
              </w:rPr>
              <w:t>○</w:t>
            </w:r>
          </w:p>
        </w:tc>
        <w:tc>
          <w:tcPr>
            <w:tcW w:type="dxa" w:w="1362"/>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6"/>
              </w:rPr>
              <w:t>____ / 5</w:t>
            </w:r>
          </w:p>
        </w:tc>
      </w:tr>
    </w:tbl>
    <w:p>
      <w:pPr>
        <w:keepNext w:val="0"/>
        <w:keepLines/>
      </w:pPr>
      <w:r>
        <w:rPr>
          <w:rFonts w:ascii="Georgia" w:hAnsi="Georgia"/>
          <w:b w:val="0"/>
          <w:i w:val="0"/>
          <w:color w:val="17212B"/>
          <w:sz w:val="21"/>
        </w:rPr>
        <w:t>Calculate each domain average, then type a filled marker (●) over the matching 1-to-5 position or shade the matching cell. Use the notes area to record the operating evidence behind the pattern.</w:t>
      </w:r>
    </w:p>
    <w:p>
      <w:pPr>
        <w:keepNext/>
        <w:spacing w:before="220" w:after="60"/>
        <w:shd w:fill="F2F4F5"/>
        <w:pBdr>
          <w:left w:val="single" w:sz="18" w:color="102A43" w:space="12"/>
        </w:pBdr>
        <w:ind w:left="288" w:right="230"/>
      </w:pPr>
      <w:r>
        <w:rPr>
          <w:rFonts w:ascii="Arial" w:hAnsi="Arial"/>
          <w:b/>
          <w:i w:val="0"/>
          <w:color w:val="B3862B"/>
          <w:sz w:val="16"/>
        </w:rPr>
        <w:t>EXECUTIVE TOOL</w:t>
      </w:r>
    </w:p>
    <w:p>
      <w:pPr>
        <w:keepNext/>
        <w:spacing w:after="140"/>
        <w:shd w:fill="F2F4F5"/>
        <w:pBdr>
          <w:left w:val="single" w:sz="18" w:color="102A43" w:space="12"/>
        </w:pBdr>
        <w:ind w:left="288" w:right="230"/>
      </w:pPr>
      <w:r>
        <w:rPr>
          <w:rFonts w:ascii="Georgia" w:hAnsi="Georgia"/>
          <w:b/>
          <w:i w:val="0"/>
          <w:color w:val="102A43"/>
          <w:sz w:val="32"/>
        </w:rPr>
        <w:t>Profile Notes</w:t>
      </w:r>
    </w:p>
    <w:tbl>
      <w:tblPr>
        <w:tblW w:type="auto" w:w="0"/>
        <w:jc w:val="center"/>
        <w:tblLayout w:type="autofit"/>
        <w:tblLook w:firstColumn="1" w:firstRow="1" w:lastColumn="0" w:lastRow="0" w:noHBand="0" w:noVBand="1" w:val="04A0"/>
      </w:tblPr>
      <w:tblGrid>
        <w:gridCol w:w="4766"/>
        <w:gridCol w:w="4766"/>
      </w:tblGrid>
      <w:tr>
        <w:trPr>
          <w:cantSplit/>
          <w:tblHeader w:val="true"/>
        </w:trPr>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Prompt</w:t>
            </w:r>
          </w:p>
        </w:tc>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Executive entry</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Lowest domain and evidence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Largest cross-domain gap</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Priority constraint</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Owner, objective, and review date</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tc>
      </w:tr>
    </w:tbl>
    <w:p>
      <w:pPr>
        <w:keepNext/>
        <w:pageBreakBefore/>
        <w:spacing w:after="0"/>
      </w:pPr>
      <w:r>
        <w:rPr>
          <w:rFonts w:ascii="Arial" w:hAnsi="Arial"/>
          <w:b w:val="0"/>
          <w:i w:val="0"/>
          <w:color w:val="FFFFFF"/>
          <w:sz w:val="2"/>
        </w:rPr>
        <w:t xml:space="preserve"> </w:t>
      </w:r>
    </w:p>
    <w:p>
      <w:pPr>
        <w:keepLines/>
        <w:spacing w:before="80" w:after="80"/>
        <w:jc w:val="center"/>
      </w:pPr>
      <w:r>
        <w:drawing>
          <wp:inline xmlns:a="http://schemas.openxmlformats.org/drawingml/2006/main" xmlns:pic="http://schemas.openxmlformats.org/drawingml/2006/picture">
            <wp:extent cx="5897880" cy="3440430"/>
            <wp:docPr id="1" name="Picture 1" descr="Figure 6.1. Illustrative example: completed hypothetical Executive Self-Assessment Profile. Plot your four domain averages before interpreting the aggregate score."/>
            <wp:cNvGraphicFramePr>
              <a:graphicFrameLocks noChangeAspect="1"/>
            </wp:cNvGraphicFramePr>
            <a:graphic>
              <a:graphicData uri="http://schemas.openxmlformats.org/drawingml/2006/picture">
                <pic:pic>
                  <pic:nvPicPr>
                    <pic:cNvPr id="0" name="04_assessment_profile.png"/>
                    <pic:cNvPicPr/>
                  </pic:nvPicPr>
                  <pic:blipFill>
                    <a:blip r:embed="rId13"/>
                    <a:stretch>
                      <a:fillRect/>
                    </a:stretch>
                  </pic:blipFill>
                  <pic:spPr>
                    <a:xfrm>
                      <a:off x="0" y="0"/>
                      <a:ext cx="5897880" cy="3440430"/>
                    </a:xfrm>
                    <a:prstGeom prst="rect"/>
                  </pic:spPr>
                </pic:pic>
              </a:graphicData>
            </a:graphic>
          </wp:inline>
        </w:drawing>
      </w:r>
    </w:p>
    <w:p>
      <w:pPr>
        <w:keepLines/>
        <w:spacing w:after="220"/>
        <w:jc w:val="center"/>
      </w:pPr>
      <w:r>
        <w:rPr>
          <w:rFonts w:ascii="Arial" w:hAnsi="Arial"/>
          <w:b/>
          <w:i w:val="0"/>
          <w:color w:val="B3862B"/>
          <w:sz w:val="15"/>
        </w:rPr>
        <w:t xml:space="preserve">FIGURE 6.1  </w:t>
      </w:r>
      <w:r>
        <w:rPr>
          <w:rFonts w:ascii="Arial" w:hAnsi="Arial"/>
          <w:b w:val="0"/>
          <w:i/>
          <w:color w:val="5E6A73"/>
          <w:sz w:val="17"/>
        </w:rPr>
        <w:t>Illustrative example: completed hypothetical Executive Self-Assessment Profile. Plot your four domain averages before interpreting the aggregate score</w:t>
      </w:r>
    </w:p>
    <w:p>
      <w:pPr>
        <w:keepNext/>
        <w:spacing w:before="220" w:after="60"/>
        <w:shd w:fill="F2F4F5"/>
        <w:pBdr>
          <w:left w:val="single" w:sz="18" w:color="102A43" w:space="12"/>
        </w:pBdr>
        <w:ind w:left="288" w:right="230"/>
      </w:pPr>
      <w:r>
        <w:rPr>
          <w:rFonts w:ascii="Arial" w:hAnsi="Arial"/>
          <w:b/>
          <w:i w:val="0"/>
          <w:color w:val="B3862B"/>
          <w:sz w:val="16"/>
        </w:rPr>
        <w:t>EXECUTIVE TOOL</w:t>
      </w:r>
    </w:p>
    <w:p>
      <w:pPr>
        <w:keepNext/>
        <w:spacing w:after="140"/>
        <w:shd w:fill="F2F4F5"/>
        <w:pBdr>
          <w:left w:val="single" w:sz="18" w:color="102A43" w:space="12"/>
        </w:pBdr>
        <w:ind w:left="288" w:right="230"/>
      </w:pPr>
      <w:r>
        <w:rPr>
          <w:rFonts w:ascii="Georgia" w:hAnsi="Georgia"/>
          <w:b/>
          <w:i w:val="0"/>
          <w:color w:val="102A43"/>
          <w:sz w:val="32"/>
        </w:rPr>
        <w:t>Assessment Profile Worksheet</w:t>
      </w:r>
    </w:p>
    <w:tbl>
      <w:tblPr>
        <w:tblW w:type="auto" w:w="0"/>
        <w:jc w:val="center"/>
        <w:tblLayout w:type="autofit"/>
        <w:tblLook w:firstColumn="1" w:firstRow="1" w:lastColumn="0" w:lastRow="0" w:noHBand="0" w:noVBand="1" w:val="04A0"/>
      </w:tblPr>
      <w:tblGrid>
        <w:gridCol w:w="4766"/>
        <w:gridCol w:w="4766"/>
      </w:tblGrid>
      <w:tr>
        <w:trPr>
          <w:cantSplit/>
          <w:tblHeader w:val="true"/>
        </w:trPr>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Result field</w:t>
            </w:r>
          </w:p>
        </w:tc>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Entry</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Raw score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____ / 100</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Base stage</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Reported stage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Assess subtotal / average</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____ / 25     ____ / 5</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Stabilize subtotal / average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____ / 25     ____ / 5</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Scale subtotal / average</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____ / 25     ____ / 5</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Accelerate subtotal / average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____ / 25     ____ / 5</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Lowest domain</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Critical-control warnings</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All scores of 1</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Largest executive differences</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Priority constraint</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Accountable owner</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Measurable objective</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Review date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tc>
      </w:tr>
    </w:tbl>
    <w:p>
      <w:pPr>
        <w:keepNext/>
        <w:spacing w:before="220" w:after="60"/>
        <w:shd w:fill="F2F4F5"/>
        <w:pBdr>
          <w:left w:val="single" w:sz="18" w:color="102A43" w:space="12"/>
        </w:pBdr>
        <w:ind w:left="288" w:right="230"/>
      </w:pPr>
      <w:r>
        <w:rPr>
          <w:rFonts w:ascii="Arial" w:hAnsi="Arial"/>
          <w:b/>
          <w:i w:val="0"/>
          <w:color w:val="B3862B"/>
          <w:sz w:val="16"/>
        </w:rPr>
        <w:t>ILLUSTRATIVE EXAMPLE</w:t>
      </w:r>
    </w:p>
    <w:p>
      <w:pPr>
        <w:keepNext/>
        <w:spacing w:after="140"/>
        <w:shd w:fill="F2F4F5"/>
        <w:pBdr>
          <w:left w:val="single" w:sz="18" w:color="102A43" w:space="12"/>
        </w:pBdr>
        <w:ind w:left="288" w:right="230"/>
      </w:pPr>
      <w:r>
        <w:rPr>
          <w:rFonts w:ascii="Georgia" w:hAnsi="Georgia"/>
          <w:b/>
          <w:i w:val="0"/>
          <w:color w:val="102A43"/>
          <w:sz w:val="32"/>
        </w:rPr>
        <w:t>Completed Hypothetical Profile — Illustrative Example</w:t>
      </w:r>
    </w:p>
    <w:tbl>
      <w:tblPr>
        <w:tblW w:type="auto" w:w="0"/>
        <w:jc w:val="center"/>
        <w:tblLayout w:type="autofit"/>
        <w:tblLook w:firstColumn="1" w:firstRow="1" w:lastColumn="0" w:lastRow="0" w:noHBand="0" w:noVBand="1" w:val="04A0"/>
      </w:tblPr>
      <w:tblGrid>
        <w:gridCol w:w="4766"/>
        <w:gridCol w:w="4766"/>
      </w:tblGrid>
      <w:tr>
        <w:trPr>
          <w:cantSplit/>
          <w:tblHeader w:val="true"/>
        </w:trPr>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Result field</w:t>
            </w:r>
          </w:p>
        </w:tc>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Completed teaching example</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Raw score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85 / 100</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Base stage</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Self-Sustaining</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Reported stage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Managed</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Assess</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10 / 25; average 2.0</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Stabilize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25 / 25; average 5.0</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Scale</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25 / 25; average 5.0</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Accelerate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25 / 25; average 5.0</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Interpretation</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The Assess subtotal activates the essential-domain cap. A strong aggregate cannot qualify the organization as Self-Sustaining while this essential domain remains weak.</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Constraint</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Decision rights and operating evidence are not reliable enough to support the rest of the system.</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Next commitment</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Assign an owner, define one decision boundary, measure decision time and escalation volume, and review in 30 days.</w:t>
            </w:r>
          </w:p>
        </w:tc>
      </w:tr>
    </w:tbl>
    <w:p>
      <w:pPr>
        <w:keepNext/>
        <w:pageBreakBefore/>
        <w:spacing w:after="0"/>
      </w:pPr>
      <w:r>
        <w:rPr>
          <w:rFonts w:ascii="Arial" w:hAnsi="Arial"/>
          <w:b w:val="0"/>
          <w:i w:val="0"/>
          <w:color w:val="FFFFFF"/>
          <w:sz w:val="2"/>
        </w:rPr>
        <w:t xml:space="preserve"> </w:t>
      </w:r>
    </w:p>
    <w:p>
      <w:pPr>
        <w:keepNext/>
        <w:spacing w:before="220" w:after="60"/>
        <w:shd w:fill="F2F4F5"/>
        <w:pBdr>
          <w:left w:val="single" w:sz="18" w:color="102A43" w:space="12"/>
        </w:pBdr>
        <w:ind w:left="288" w:right="230"/>
      </w:pPr>
      <w:r>
        <w:rPr>
          <w:rFonts w:ascii="Arial" w:hAnsi="Arial"/>
          <w:b/>
          <w:i w:val="0"/>
          <w:color w:val="B3862B"/>
          <w:sz w:val="16"/>
        </w:rPr>
        <w:t>EXECUTIVE TOOL</w:t>
      </w:r>
    </w:p>
    <w:p>
      <w:pPr>
        <w:keepNext/>
        <w:spacing w:after="140"/>
        <w:shd w:fill="F2F4F5"/>
        <w:pBdr>
          <w:left w:val="single" w:sz="18" w:color="102A43" w:space="12"/>
        </w:pBdr>
        <w:ind w:left="288" w:right="230"/>
      </w:pPr>
      <w:r>
        <w:rPr>
          <w:rFonts w:ascii="Georgia" w:hAnsi="Georgia"/>
          <w:b/>
          <w:i w:val="0"/>
          <w:color w:val="102A43"/>
          <w:sz w:val="32"/>
        </w:rPr>
        <w:t>Meeting Contract</w:t>
      </w:r>
    </w:p>
    <w:tbl>
      <w:tblPr>
        <w:tblW w:type="auto" w:w="0"/>
        <w:jc w:val="center"/>
        <w:tblLayout w:type="autofit"/>
        <w:tblLook w:firstColumn="1" w:firstRow="1" w:lastColumn="0" w:lastRow="0" w:noHBand="0" w:noVBand="1" w:val="04A0"/>
      </w:tblPr>
      <w:tblGrid>
        <w:gridCol w:w="4766"/>
        <w:gridCol w:w="4766"/>
      </w:tblGrid>
      <w:tr>
        <w:trPr>
          <w:cantSplit/>
          <w:tblHeader w:val="true"/>
        </w:trPr>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Field</w:t>
            </w:r>
          </w:p>
        </w:tc>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Executive entry</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Purpose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Decision authority</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Participants</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Required inputs</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Expected outputs</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Cadence</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Retirement condition</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tc>
      </w:tr>
    </w:tbl>
    <w:p>
      <w:pPr>
        <w:keepNext/>
        <w:spacing w:before="220" w:after="60"/>
        <w:shd w:fill="F2F4F5"/>
        <w:pBdr>
          <w:left w:val="single" w:sz="18" w:color="102A43" w:space="12"/>
        </w:pBdr>
        <w:ind w:left="288" w:right="230"/>
      </w:pPr>
      <w:r>
        <w:rPr>
          <w:rFonts w:ascii="Arial" w:hAnsi="Arial"/>
          <w:b/>
          <w:i w:val="0"/>
          <w:color w:val="B3862B"/>
          <w:sz w:val="16"/>
        </w:rPr>
        <w:t>WORKED HYPOTHETICAL</w:t>
      </w:r>
    </w:p>
    <w:p>
      <w:pPr>
        <w:keepNext/>
        <w:spacing w:after="140"/>
        <w:shd w:fill="F2F4F5"/>
        <w:pBdr>
          <w:left w:val="single" w:sz="18" w:color="102A43" w:space="12"/>
        </w:pBdr>
        <w:ind w:left="288" w:right="230"/>
      </w:pPr>
      <w:r>
        <w:rPr>
          <w:rFonts w:ascii="Georgia" w:hAnsi="Georgia"/>
          <w:b/>
          <w:i w:val="0"/>
          <w:color w:val="102A43"/>
          <w:sz w:val="32"/>
        </w:rPr>
        <w:t>Completed Hypothetical Meeting Contract</w:t>
      </w:r>
    </w:p>
    <w:tbl>
      <w:tblPr>
        <w:tblW w:type="auto" w:w="0"/>
        <w:jc w:val="center"/>
        <w:tblLayout w:type="autofit"/>
        <w:tblLook w:firstColumn="1" w:firstRow="1" w:lastColumn="0" w:lastRow="0" w:noHBand="0" w:noVBand="1" w:val="04A0"/>
      </w:tblPr>
      <w:tblGrid>
        <w:gridCol w:w="4766"/>
        <w:gridCol w:w="4766"/>
      </w:tblGrid>
      <w:tr>
        <w:trPr>
          <w:cantSplit/>
          <w:tblHeader w:val="true"/>
        </w:trPr>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Field</w:t>
            </w:r>
          </w:p>
        </w:tc>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Completed teaching example</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Purpose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Resolve customer-credit patterns and change the decision rule when evidence requires it.</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Decision authority</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Managers decide within approved thresholds; the COO decides exceptions outside them.</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Participants</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COO, customer operations, finance, and the policy owner.</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Inputs</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Escalation volume, manager-level decision rate, decision time, harmful exceptions.</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Outputs</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Threshold decisions, assigned policy changes, owners, and dates.</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Cadence</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Weekly for eight weeks.</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Retirement</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Retire or reduce cadence when escalation volume is stable inside the agreed threshold for four reviews.</w:t>
            </w:r>
          </w:p>
        </w:tc>
      </w:tr>
    </w:tbl>
    <w:p>
      <w:pPr>
        <w:keepNext/>
        <w:pageBreakBefore/>
        <w:spacing w:after="0"/>
      </w:pPr>
      <w:r>
        <w:rPr>
          <w:rFonts w:ascii="Arial" w:hAnsi="Arial"/>
          <w:b w:val="0"/>
          <w:i w:val="0"/>
          <w:color w:val="FFFFFF"/>
          <w:sz w:val="2"/>
        </w:rPr>
        <w:t xml:space="preserve"> </w:t>
      </w:r>
    </w:p>
    <w:p>
      <w:pPr>
        <w:keepNext/>
        <w:spacing w:before="220" w:after="60"/>
        <w:shd w:fill="F2F4F5"/>
        <w:pBdr>
          <w:left w:val="single" w:sz="18" w:color="102A43" w:space="12"/>
        </w:pBdr>
        <w:ind w:left="288" w:right="230"/>
      </w:pPr>
      <w:r>
        <w:rPr>
          <w:rFonts w:ascii="Arial" w:hAnsi="Arial"/>
          <w:b/>
          <w:i w:val="0"/>
          <w:color w:val="B3862B"/>
          <w:sz w:val="16"/>
        </w:rPr>
        <w:t>EXECUTIVE TOOL</w:t>
      </w:r>
    </w:p>
    <w:p>
      <w:pPr>
        <w:keepNext/>
        <w:spacing w:after="140"/>
        <w:shd w:fill="F2F4F5"/>
        <w:pBdr>
          <w:left w:val="single" w:sz="18" w:color="102A43" w:space="12"/>
        </w:pBdr>
        <w:ind w:left="288" w:right="230"/>
      </w:pPr>
      <w:r>
        <w:rPr>
          <w:rFonts w:ascii="Georgia" w:hAnsi="Georgia"/>
          <w:b/>
          <w:i w:val="0"/>
          <w:color w:val="102A43"/>
          <w:sz w:val="32"/>
        </w:rPr>
        <w:t>Decision Brief</w:t>
      </w:r>
    </w:p>
    <w:tbl>
      <w:tblPr>
        <w:tblW w:type="auto" w:w="0"/>
        <w:jc w:val="center"/>
        <w:tblLayout w:type="autofit"/>
        <w:tblLook w:firstColumn="1" w:firstRow="1" w:lastColumn="0" w:lastRow="0" w:noHBand="0" w:noVBand="1" w:val="04A0"/>
      </w:tblPr>
      <w:tblGrid>
        <w:gridCol w:w="4766"/>
        <w:gridCol w:w="4766"/>
      </w:tblGrid>
      <w:tr>
        <w:trPr>
          <w:cantSplit/>
          <w:tblHeader w:val="true"/>
        </w:trPr>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Field</w:t>
            </w:r>
          </w:p>
        </w:tc>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Executive entry</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Decision</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Decider</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Required input</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Decision criteria</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Deadline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Escalation condition</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Outcome review</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tc>
      </w:tr>
    </w:tbl>
    <w:p>
      <w:pPr>
        <w:keepNext/>
        <w:spacing w:before="220" w:after="60"/>
        <w:shd w:fill="F2F4F5"/>
        <w:pBdr>
          <w:left w:val="single" w:sz="18" w:color="102A43" w:space="12"/>
        </w:pBdr>
        <w:ind w:left="288" w:right="230"/>
      </w:pPr>
      <w:r>
        <w:rPr>
          <w:rFonts w:ascii="Arial" w:hAnsi="Arial"/>
          <w:b/>
          <w:i w:val="0"/>
          <w:color w:val="B3862B"/>
          <w:sz w:val="16"/>
        </w:rPr>
        <w:t>WORKED HYPOTHETICAL</w:t>
      </w:r>
    </w:p>
    <w:p>
      <w:pPr>
        <w:keepNext/>
        <w:spacing w:after="140"/>
        <w:shd w:fill="F2F4F5"/>
        <w:pBdr>
          <w:left w:val="single" w:sz="18" w:color="102A43" w:space="12"/>
        </w:pBdr>
        <w:ind w:left="288" w:right="230"/>
      </w:pPr>
      <w:r>
        <w:rPr>
          <w:rFonts w:ascii="Georgia" w:hAnsi="Georgia"/>
          <w:b/>
          <w:i w:val="0"/>
          <w:color w:val="102A43"/>
          <w:sz w:val="32"/>
        </w:rPr>
        <w:t>Completed Hypothetical Decision Brief</w:t>
      </w:r>
    </w:p>
    <w:tbl>
      <w:tblPr>
        <w:tblW w:type="auto" w:w="0"/>
        <w:jc w:val="center"/>
        <w:tblLayout w:type="autofit"/>
        <w:tblLook w:firstColumn="1" w:firstRow="1" w:lastColumn="0" w:lastRow="0" w:noHBand="0" w:noVBand="1" w:val="04A0"/>
      </w:tblPr>
      <w:tblGrid>
        <w:gridCol w:w="4766"/>
        <w:gridCol w:w="4766"/>
      </w:tblGrid>
      <w:tr>
        <w:trPr>
          <w:cantSplit/>
          <w:tblHeader w:val="true"/>
        </w:trPr>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Field</w:t>
            </w:r>
          </w:p>
        </w:tc>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Completed teaching example</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Decision</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Approve or decline a customer credit outside the manager threshold.</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Decider</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COO.</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Required input</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Customer history, value, service failure evidence, proposed amount, and risk.</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Criteria</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Customer harm, precedent, contribution, reversibility, and policy intent.</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Deadline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One business day.</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Escalation</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Legal, compliance, or material financial exposure outside the COO's authority.</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Outcome review</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Review patterns in the weekly operating meeting; reassess thresholds after eight weeks.</w:t>
            </w:r>
          </w:p>
        </w:tc>
      </w:tr>
    </w:tbl>
    <w:p>
      <w:pPr>
        <w:keepNext/>
        <w:pageBreakBefore/>
        <w:spacing w:after="0"/>
      </w:pPr>
      <w:r>
        <w:rPr>
          <w:rFonts w:ascii="Arial" w:hAnsi="Arial"/>
          <w:b w:val="0"/>
          <w:i w:val="0"/>
          <w:color w:val="FFFFFF"/>
          <w:sz w:val="2"/>
        </w:rPr>
        <w:t xml:space="preserve"> </w:t>
      </w:r>
    </w:p>
    <w:p>
      <w:pPr>
        <w:keepNext/>
        <w:spacing w:before="220" w:after="60"/>
        <w:shd w:fill="F2F4F5"/>
        <w:pBdr>
          <w:left w:val="single" w:sz="18" w:color="102A43" w:space="12"/>
        </w:pBdr>
        <w:ind w:left="288" w:right="230"/>
      </w:pPr>
      <w:r>
        <w:rPr>
          <w:rFonts w:ascii="Arial" w:hAnsi="Arial"/>
          <w:b/>
          <w:i w:val="0"/>
          <w:color w:val="B3862B"/>
          <w:sz w:val="16"/>
        </w:rPr>
        <w:t>EXECUTIVE TOOL</w:t>
      </w:r>
    </w:p>
    <w:p>
      <w:pPr>
        <w:keepNext/>
        <w:spacing w:after="140"/>
        <w:shd w:fill="F2F4F5"/>
        <w:pBdr>
          <w:left w:val="single" w:sz="18" w:color="102A43" w:space="12"/>
        </w:pBdr>
        <w:ind w:left="288" w:right="230"/>
      </w:pPr>
      <w:r>
        <w:rPr>
          <w:rFonts w:ascii="Georgia" w:hAnsi="Georgia"/>
          <w:b/>
          <w:i w:val="0"/>
          <w:color w:val="102A43"/>
          <w:sz w:val="32"/>
        </w:rPr>
        <w:t>KPI Contract</w:t>
      </w:r>
    </w:p>
    <w:tbl>
      <w:tblPr>
        <w:tblW w:type="auto" w:w="0"/>
        <w:jc w:val="center"/>
        <w:tblLayout w:type="autofit"/>
        <w:tblLook w:firstColumn="1" w:firstRow="1" w:lastColumn="0" w:lastRow="0" w:noHBand="0" w:noVBand="1" w:val="04A0"/>
      </w:tblPr>
      <w:tblGrid>
        <w:gridCol w:w="4766"/>
        <w:gridCol w:w="4766"/>
      </w:tblGrid>
      <w:tr>
        <w:trPr>
          <w:cantSplit/>
          <w:tblHeader w:val="true"/>
        </w:trPr>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Field</w:t>
            </w:r>
          </w:p>
        </w:tc>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Executive entry</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KPI</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Definition and scope</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Data source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Owner</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Review frequency</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Threshold or pattern</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Required response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Review date</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tc>
      </w:tr>
    </w:tbl>
    <w:p>
      <w:pPr>
        <w:keepNext/>
        <w:spacing w:before="220" w:after="60"/>
        <w:shd w:fill="F2F4F5"/>
        <w:pBdr>
          <w:left w:val="single" w:sz="18" w:color="102A43" w:space="12"/>
        </w:pBdr>
        <w:ind w:left="288" w:right="230"/>
      </w:pPr>
      <w:r>
        <w:rPr>
          <w:rFonts w:ascii="Arial" w:hAnsi="Arial"/>
          <w:b/>
          <w:i w:val="0"/>
          <w:color w:val="B3862B"/>
          <w:sz w:val="16"/>
        </w:rPr>
        <w:t>WORKED HYPOTHETICAL</w:t>
      </w:r>
    </w:p>
    <w:p>
      <w:pPr>
        <w:keepNext/>
        <w:spacing w:after="140"/>
        <w:shd w:fill="F2F4F5"/>
        <w:pBdr>
          <w:left w:val="single" w:sz="18" w:color="102A43" w:space="12"/>
        </w:pBdr>
        <w:ind w:left="288" w:right="230"/>
      </w:pPr>
      <w:r>
        <w:rPr>
          <w:rFonts w:ascii="Georgia" w:hAnsi="Georgia"/>
          <w:b/>
          <w:i w:val="0"/>
          <w:color w:val="102A43"/>
          <w:sz w:val="32"/>
        </w:rPr>
        <w:t>Completed Hypothetical KPI Contract</w:t>
      </w:r>
    </w:p>
    <w:tbl>
      <w:tblPr>
        <w:tblW w:type="auto" w:w="0"/>
        <w:jc w:val="center"/>
        <w:tblLayout w:type="autofit"/>
        <w:tblLook w:firstColumn="1" w:firstRow="1" w:lastColumn="0" w:lastRow="0" w:noHBand="0" w:noVBand="1" w:val="04A0"/>
      </w:tblPr>
      <w:tblGrid>
        <w:gridCol w:w="4766"/>
        <w:gridCol w:w="4766"/>
      </w:tblGrid>
      <w:tr>
        <w:trPr>
          <w:cantSplit/>
          <w:tblHeader w:val="true"/>
        </w:trPr>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Field</w:t>
            </w:r>
          </w:p>
        </w:tc>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Completed teaching example</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KPI</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Manager-level customer-credit decision rate.</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Definition</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Eligible credit decisions completed by managers within the approved threshold ÷ all eligible decisions.</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Source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Credit-decision log; policy owner verifies scope weekly.</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Owner</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VP Customer Operations.</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Frequency</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Weekly for eight weeks.</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Threshold</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Below 80%, or any harmful exception.</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Response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Review classification errors, coaching needs, and threshold design; assign corrective action.</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Review date</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End of week eight.</w:t>
            </w:r>
          </w:p>
        </w:tc>
      </w:tr>
    </w:tbl>
    <w:p>
      <w:pPr>
        <w:keepNext/>
        <w:pageBreakBefore/>
        <w:spacing w:after="0"/>
      </w:pPr>
      <w:r>
        <w:rPr>
          <w:rFonts w:ascii="Arial" w:hAnsi="Arial"/>
          <w:b w:val="0"/>
          <w:i w:val="0"/>
          <w:color w:val="FFFFFF"/>
          <w:sz w:val="2"/>
        </w:rPr>
        <w:t xml:space="preserve"> </w:t>
      </w:r>
    </w:p>
    <w:p>
      <w:pPr>
        <w:keepNext/>
        <w:spacing w:before="220" w:after="60"/>
        <w:shd w:fill="F2F4F5"/>
        <w:pBdr>
          <w:left w:val="single" w:sz="18" w:color="102A43" w:space="12"/>
        </w:pBdr>
        <w:ind w:left="288" w:right="230"/>
      </w:pPr>
      <w:r>
        <w:rPr>
          <w:rFonts w:ascii="Arial" w:hAnsi="Arial"/>
          <w:b/>
          <w:i w:val="0"/>
          <w:color w:val="B3862B"/>
          <w:sz w:val="16"/>
        </w:rPr>
        <w:t>EXECUTIVE TOOL</w:t>
      </w:r>
    </w:p>
    <w:p>
      <w:pPr>
        <w:keepNext/>
        <w:spacing w:after="140"/>
        <w:shd w:fill="F2F4F5"/>
        <w:pBdr>
          <w:left w:val="single" w:sz="18" w:color="102A43" w:space="12"/>
        </w:pBdr>
        <w:ind w:left="288" w:right="230"/>
      </w:pPr>
      <w:r>
        <w:rPr>
          <w:rFonts w:ascii="Georgia" w:hAnsi="Georgia"/>
          <w:b/>
          <w:i w:val="0"/>
          <w:color w:val="102A43"/>
          <w:sz w:val="32"/>
        </w:rPr>
        <w:t>AI Pilot Decision Worksheet</w:t>
      </w:r>
    </w:p>
    <w:tbl>
      <w:tblPr>
        <w:tblW w:type="auto" w:w="0"/>
        <w:jc w:val="center"/>
        <w:tblLayout w:type="autofit"/>
        <w:tblLook w:firstColumn="1" w:firstRow="1" w:lastColumn="0" w:lastRow="0" w:noHBand="0" w:noVBand="1" w:val="04A0"/>
      </w:tblPr>
      <w:tblGrid>
        <w:gridCol w:w="4766"/>
        <w:gridCol w:w="4766"/>
      </w:tblGrid>
      <w:tr>
        <w:trPr>
          <w:cantSplit/>
          <w:tblHeader w:val="true"/>
        </w:trPr>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Field</w:t>
            </w:r>
          </w:p>
        </w:tc>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Executive entry</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Operating problem</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AI use case</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Risk class</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Assist / Recommend / Act within boundaries / Consequential</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Baseline</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Expected improvement</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Accountable owner</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Data and privacy controls</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Human review</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Error thresholds</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Pilot duration</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Success criteria</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Stop conditions</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Final decision</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Expand / Revise / Shut down</w:t>
            </w:r>
          </w:p>
        </w:tc>
      </w:tr>
    </w:tbl>
    <w:p>
      <w:pPr>
        <w:keepNext/>
        <w:spacing w:before="220" w:after="60"/>
        <w:shd w:fill="F2F4F5"/>
        <w:pBdr>
          <w:left w:val="single" w:sz="18" w:color="102A43" w:space="12"/>
        </w:pBdr>
        <w:ind w:left="288" w:right="230"/>
      </w:pPr>
      <w:r>
        <w:rPr>
          <w:rFonts w:ascii="Arial" w:hAnsi="Arial"/>
          <w:b/>
          <w:i w:val="0"/>
          <w:color w:val="B3862B"/>
          <w:sz w:val="16"/>
        </w:rPr>
        <w:t>WORKED HYPOTHETICAL</w:t>
      </w:r>
    </w:p>
    <w:p>
      <w:pPr>
        <w:keepNext/>
        <w:spacing w:after="140"/>
        <w:shd w:fill="F2F4F5"/>
        <w:pBdr>
          <w:left w:val="single" w:sz="18" w:color="102A43" w:space="12"/>
        </w:pBdr>
        <w:ind w:left="288" w:right="230"/>
      </w:pPr>
      <w:r>
        <w:rPr>
          <w:rFonts w:ascii="Georgia" w:hAnsi="Georgia"/>
          <w:b/>
          <w:i w:val="0"/>
          <w:color w:val="102A43"/>
          <w:sz w:val="32"/>
        </w:rPr>
        <w:t>Completed Hypothetical AI Pilot</w:t>
      </w:r>
    </w:p>
    <w:tbl>
      <w:tblPr>
        <w:tblW w:type="auto" w:w="0"/>
        <w:jc w:val="center"/>
        <w:tblLayout w:type="autofit"/>
        <w:tblLook w:firstColumn="1" w:firstRow="1" w:lastColumn="0" w:lastRow="0" w:noHBand="0" w:noVBand="1" w:val="04A0"/>
      </w:tblPr>
      <w:tblGrid>
        <w:gridCol w:w="4766"/>
        <w:gridCol w:w="4766"/>
      </w:tblGrid>
      <w:tr>
        <w:trPr>
          <w:cantSplit/>
          <w:tblHeader w:val="true"/>
        </w:trPr>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Field</w:t>
            </w:r>
          </w:p>
        </w:tc>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Completed teaching example</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Problem</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Managers spend a median of 12 minutes locating approved guidance for eligible policy questions.</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Use case and class</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Retrieve approved passages and draft an internal response; Assist-level only.</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Baseline and target</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Reduce median search-and-draft time from 12 minutes to 8 minutes or less without reducing reviewed quality.</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Owner</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Hypothetical customer-operations executive.</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Data and privacy</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Approved policy library only; no unrestricted web content; minimum necessary case detail.</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Human review</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A trained manager verifies every citation, edits the draft, and owns the final guidance.</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Error threshold</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Stop for unsupported guidance, unauthorized exposure, repeated missing citations, or material quality decline.</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Duration</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Four weeks with twelve trained managers.</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Decision</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Expand, revise, or shut down after review of time, quality, incidents, overrides, cost, and capacity use.</w:t>
            </w:r>
          </w:p>
        </w:tc>
      </w:tr>
    </w:tbl>
    <w:p>
      <w:pPr>
        <w:keepNext/>
        <w:pageBreakBefore/>
        <w:spacing w:after="0"/>
      </w:pPr>
      <w:r>
        <w:rPr>
          <w:rFonts w:ascii="Arial" w:hAnsi="Arial"/>
          <w:b w:val="0"/>
          <w:i w:val="0"/>
          <w:color w:val="FFFFFF"/>
          <w:sz w:val="2"/>
        </w:rPr>
        <w:t xml:space="preserve"> </w:t>
      </w:r>
    </w:p>
    <w:p>
      <w:pPr>
        <w:jc w:val="center"/>
      </w:pPr>
      <w:r>
        <w:drawing>
          <wp:inline xmlns:a="http://schemas.openxmlformats.org/drawingml/2006/main" xmlns:pic="http://schemas.openxmlformats.org/drawingml/2006/picture">
            <wp:extent cx="5897880" cy="3440430"/>
            <wp:docPr id="2" name="Picture 2" descr="The Thirty-Day Action Plan: establish evidence, name the mechanism, install the change, and review behavior."/>
            <wp:cNvGraphicFramePr>
              <a:graphicFrameLocks noChangeAspect="1"/>
            </wp:cNvGraphicFramePr>
            <a:graphic>
              <a:graphicData uri="http://schemas.openxmlformats.org/drawingml/2006/picture">
                <pic:pic>
                  <pic:nvPicPr>
                    <pic:cNvPr id="0" name="07_thirty_day_action_plan.png"/>
                    <pic:cNvPicPr/>
                  </pic:nvPicPr>
                  <pic:blipFill>
                    <a:blip r:embed="rId14"/>
                    <a:stretch>
                      <a:fillRect/>
                    </a:stretch>
                  </pic:blipFill>
                  <pic:spPr>
                    <a:xfrm>
                      <a:off x="0" y="0"/>
                      <a:ext cx="5897880" cy="3440430"/>
                    </a:xfrm>
                    <a:prstGeom prst="rect"/>
                  </pic:spPr>
                </pic:pic>
              </a:graphicData>
            </a:graphic>
          </wp:inline>
        </w:drawing>
      </w:r>
    </w:p>
    <w:p>
      <w:pPr>
        <w:keepNext/>
        <w:spacing w:before="220" w:after="60"/>
        <w:shd w:fill="F2F4F5"/>
        <w:pBdr>
          <w:left w:val="single" w:sz="18" w:color="102A43" w:space="12"/>
        </w:pBdr>
        <w:ind w:left="288" w:right="230"/>
      </w:pPr>
      <w:r>
        <w:rPr>
          <w:rFonts w:ascii="Arial" w:hAnsi="Arial"/>
          <w:b/>
          <w:i w:val="0"/>
          <w:color w:val="B3862B"/>
          <w:sz w:val="16"/>
        </w:rPr>
        <w:t>EXECUTIVE TOOL</w:t>
      </w:r>
    </w:p>
    <w:p>
      <w:pPr>
        <w:keepNext/>
        <w:spacing w:after="140"/>
        <w:shd w:fill="F2F4F5"/>
        <w:pBdr>
          <w:left w:val="single" w:sz="18" w:color="102A43" w:space="12"/>
        </w:pBdr>
        <w:ind w:left="288" w:right="230"/>
      </w:pPr>
      <w:r>
        <w:rPr>
          <w:rFonts w:ascii="Georgia" w:hAnsi="Georgia"/>
          <w:b/>
          <w:i w:val="0"/>
          <w:color w:val="102A43"/>
          <w:sz w:val="32"/>
        </w:rPr>
        <w:t>Thirty-Day Action Plan</w:t>
      </w:r>
    </w:p>
    <w:tbl>
      <w:tblPr>
        <w:tblW w:type="auto" w:w="0"/>
        <w:jc w:val="center"/>
        <w:tblLayout w:type="autofit"/>
        <w:tblLook w:firstColumn="1" w:firstRow="1" w:lastColumn="0" w:lastRow="0" w:noHBand="0" w:noVBand="1" w:val="04A0"/>
      </w:tblPr>
      <w:tblGrid>
        <w:gridCol w:w="4766"/>
        <w:gridCol w:w="4766"/>
      </w:tblGrid>
      <w:tr>
        <w:trPr>
          <w:cantSplit/>
          <w:tblHeader w:val="true"/>
        </w:trPr>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Commitment</w:t>
            </w:r>
          </w:p>
        </w:tc>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Executive entry</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One priority constraint</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One accountable owner</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One measurable operating change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One review date</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tc>
      </w:tr>
    </w:tbl>
    <w:p>
      <w:pPr>
        <w:keepNext/>
        <w:spacing w:before="220" w:after="60"/>
        <w:shd w:fill="F2F4F5"/>
        <w:pBdr>
          <w:left w:val="single" w:sz="18" w:color="102A43" w:space="12"/>
        </w:pBdr>
        <w:ind w:left="288" w:right="230"/>
      </w:pPr>
      <w:r>
        <w:rPr>
          <w:rFonts w:ascii="Arial" w:hAnsi="Arial"/>
          <w:b/>
          <w:i w:val="0"/>
          <w:color w:val="B3862B"/>
          <w:sz w:val="16"/>
        </w:rPr>
        <w:t>EXECUTIVE TOOL</w:t>
      </w:r>
    </w:p>
    <w:p>
      <w:pPr>
        <w:keepNext/>
        <w:spacing w:after="140"/>
        <w:shd w:fill="F2F4F5"/>
        <w:pBdr>
          <w:left w:val="single" w:sz="18" w:color="102A43" w:space="12"/>
        </w:pBdr>
        <w:ind w:left="288" w:right="230"/>
      </w:pPr>
      <w:r>
        <w:rPr>
          <w:rFonts w:ascii="Georgia" w:hAnsi="Georgia"/>
          <w:b/>
          <w:i w:val="0"/>
          <w:color w:val="102A43"/>
          <w:sz w:val="32"/>
        </w:rPr>
        <w:t>Thirty-Day Work Plan</w:t>
      </w:r>
    </w:p>
    <w:tbl>
      <w:tblPr>
        <w:tblW w:type="auto" w:w="0"/>
        <w:jc w:val="center"/>
        <w:tblLayout w:type="autofit"/>
        <w:tblLook w:firstColumn="1" w:firstRow="1" w:lastColumn="0" w:lastRow="0" w:noHBand="0" w:noVBand="1" w:val="04A0"/>
      </w:tblPr>
      <w:tblGrid>
        <w:gridCol w:w="4766"/>
        <w:gridCol w:w="4766"/>
      </w:tblGrid>
      <w:tr>
        <w:trPr>
          <w:cantSplit/>
          <w:tblHeader w:val="true"/>
        </w:trPr>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Week</w:t>
            </w:r>
          </w:p>
        </w:tc>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Decision and output</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Week 1 - Establish evidence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Use the Operational Debt Ledger and Assessment Profile; select one evidenced constraint.</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Week 2 - Make the mechanism visible</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Trace ownership, handoffs, measures, exceptions, overlap, and financial treatment.</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Week 3 - Install the minimum change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Clarify the owner, authority boundary, measure, response, and review rhythm.</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Week 4 - Review behavior</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Compare current evidence with the baseline; keep, revise, or stop the intervention; set the next date.</w:t>
            </w:r>
          </w:p>
        </w:tc>
      </w:tr>
    </w:tbl>
    <w:p>
      <w:pPr>
        <w:keepNext/>
        <w:spacing w:before="220" w:after="60"/>
        <w:shd w:fill="F2F4F5"/>
        <w:pBdr>
          <w:left w:val="single" w:sz="18" w:color="102A43" w:space="12"/>
        </w:pBdr>
        <w:ind w:left="288" w:right="230"/>
      </w:pPr>
      <w:r>
        <w:rPr>
          <w:rFonts w:ascii="Arial" w:hAnsi="Arial"/>
          <w:b/>
          <w:i w:val="0"/>
          <w:color w:val="B3862B"/>
          <w:sz w:val="16"/>
        </w:rPr>
        <w:t>WORKED HYPOTHETICAL</w:t>
      </w:r>
    </w:p>
    <w:p>
      <w:pPr>
        <w:keepNext/>
        <w:spacing w:after="140"/>
        <w:shd w:fill="F2F4F5"/>
        <w:pBdr>
          <w:left w:val="single" w:sz="18" w:color="102A43" w:space="12"/>
        </w:pBdr>
        <w:ind w:left="288" w:right="230"/>
      </w:pPr>
      <w:r>
        <w:rPr>
          <w:rFonts w:ascii="Georgia" w:hAnsi="Georgia"/>
          <w:b/>
          <w:i w:val="0"/>
          <w:color w:val="102A43"/>
          <w:sz w:val="32"/>
        </w:rPr>
        <w:t>Completed Hypothetical Thirty-Day Plan</w:t>
      </w:r>
    </w:p>
    <w:tbl>
      <w:tblPr>
        <w:tblW w:type="auto" w:w="0"/>
        <w:jc w:val="center"/>
        <w:tblLayout w:type="autofit"/>
        <w:tblLook w:firstColumn="1" w:firstRow="1" w:lastColumn="0" w:lastRow="0" w:noHBand="0" w:noVBand="1" w:val="04A0"/>
      </w:tblPr>
      <w:tblGrid>
        <w:gridCol w:w="4766"/>
        <w:gridCol w:w="4766"/>
      </w:tblGrid>
      <w:tr>
        <w:trPr>
          <w:cantSplit/>
          <w:tblHeader w:val="true"/>
        </w:trPr>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Commitment</w:t>
            </w:r>
          </w:p>
        </w:tc>
        <w:tc>
          <w:tcPr>
            <w:tcW w:type="dxa" w:w="4766"/>
            <w:shd w:fill="102A43"/>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Arial" w:hAnsi="Arial"/>
                <w:b/>
                <w:i w:val="0"/>
                <w:color w:val="FFFFFF"/>
                <w:sz w:val="16"/>
              </w:rPr>
              <w:t>Completed teaching example</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Constraint</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Routine customer-credit decisions wait for senior approval.</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Owner</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Hypothetical COO.</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Measurable change</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Raise manager-level decisions to at least 80% while tracking decision time and harmful exceptions.</w:t>
            </w:r>
          </w:p>
        </w:tc>
      </w:tr>
      <w:tr>
        <w:trPr>
          <w:cantSplit/>
        </w:trPr>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Review date</w:t>
            </w:r>
          </w:p>
        </w:tc>
        <w:tc>
          <w:tcPr>
            <w:tcW w:type="dxa" w:w="4766"/>
            <w:shd w:fill="F2F4F5"/>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pPr>
              <w:keepNext/>
            </w:pPr>
            <w:r>
              <w:rPr>
                <w:rFonts w:ascii="Georgia" w:hAnsi="Georgia"/>
                <w:b w:val="0"/>
                <w:i w:val="0"/>
                <w:color w:val="17212B"/>
                <w:sz w:val="18"/>
              </w:rPr>
              <w:t>Thirty days after launch.</w:t>
            </w:r>
          </w:p>
        </w:tc>
      </w:tr>
      <w:tr>
        <w:trPr>
          <w:cantSplit/>
        </w:trPr>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Method connection</w:t>
            </w:r>
          </w:p>
        </w:tc>
        <w:tc>
          <w:tcPr>
            <w:tcW w:type="dxa" w:w="4766"/>
            <w:shd w:fill="FFFFFF"/>
            <w:tcMar>
              <w:top w:w="105" w:type="dxa"/>
              <w:start w:w="120" w:type="dxa"/>
              <w:bottom w:w="105" w:type="dxa"/>
              <w:end w:w="120" w:type="dxa"/>
            </w:tcMar>
            <w:tcBorders>
              <w:top w:val="single" w:sz="6" w:color="D9DEE2"/>
              <w:left w:val="single" w:sz="6" w:color="D9DEE2"/>
              <w:bottom w:val="single" w:sz="6" w:color="D9DEE2"/>
              <w:right w:val="single" w:sz="6" w:color="D9DEE2"/>
              <w:insideH w:val="single" w:sz="6" w:color="D9DEE2"/>
              <w:insideV w:val="single" w:sz="6" w:color="D9DEE2"/>
            </w:tcBorders>
            <w:vAlign w:val="top"/>
          </w:tcPr>
          <w:p>
            <w:r>
              <w:rPr>
                <w:rFonts w:ascii="Georgia" w:hAnsi="Georgia"/>
                <w:b w:val="0"/>
                <w:i w:val="0"/>
                <w:color w:val="17212B"/>
                <w:sz w:val="18"/>
              </w:rPr>
              <w:t>Assess the decision queue; stabilize the approval boundary; scale the proven rule; accelerate only if the process and data are ready.</w:t>
            </w:r>
          </w:p>
        </w:tc>
      </w:tr>
    </w:tbl>
    <w:sectPr w:rsidR="00FC693F" w:rsidRPr="0006063C" w:rsidSect="00034616">
      <w:headerReference w:type="default" r:id="rId9"/>
      <w:footerReference w:type="default" r:id="rId10"/>
      <w:headerReference w:type="first" r:id="rId11"/>
      <w:footerReference w:type="first" r:id="rId12"/>
      <w:pgSz w:w="12240" w:h="15840"/>
      <w:pgMar w:top="1094" w:right="1354" w:bottom="1037" w:left="135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928" w:val="right"/>
        <w:tab w:pos="9432" w:val="left"/>
      </w:tabs>
      <w:spacing w:after="0"/>
    </w:pPr>
    <w:r>
      <w:rPr>
        <w:rFonts w:ascii="Arial" w:hAnsi="Arial"/>
        <w:b/>
        <w:i w:val="0"/>
        <w:color w:val="147D7E"/>
        <w:sz w:val="14"/>
      </w:rPr>
      <w:t>TRUESCALE ADVISORY</w:t>
    </w:r>
    <w:r>
      <w:tab/>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b/>
        <w:i w:val="0"/>
        <w:color w:val="147D7E"/>
        <w:sz w:val="14"/>
      </w:rPr>
      <w:t>TRUESCALE ADVISORY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928" w:val="right"/>
        <w:tab w:pos="9432" w:val="left"/>
      </w:tabs>
      <w:spacing w:after="0"/>
    </w:pPr>
    <w:r>
      <w:rPr>
        <w:rFonts w:ascii="Arial" w:hAnsi="Arial"/>
        <w:b/>
        <w:i w:val="0"/>
        <w:color w:val="5E6A73"/>
        <w:sz w:val="15"/>
      </w:rPr>
      <w:t>THE TRUESCALE PLAYBOOK</w:t>
    </w:r>
    <w:r>
      <w:tab/>
    </w:r>
    <w:r>
      <w:rPr>
        <w:rFonts w:ascii="Arial" w:hAnsi="Arial"/>
        <w:b/>
        <w:i w:val="0"/>
        <w:color w:val="5E6A73"/>
        <w:sz w:val="15"/>
      </w:rPr>
      <w:t>EXECUTIVE WORKSHEETS</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Georgia" w:hAnsi="Georgia"/>
      <w:color w:val="17212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80"/>
      <w:outlineLvl w:val="0"/>
    </w:pPr>
    <w:rPr>
      <w:rFonts w:asciiTheme="majorHAnsi" w:eastAsiaTheme="majorEastAsia" w:hAnsiTheme="majorHAnsi" w:cstheme="majorBidi" w:ascii="Arial" w:hAnsi="Arial"/>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rial" w:hAnsi="Arial"/>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b/>
      <w:color w:val="000000"/>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20"/>
    </w:pPr>
    <w:rPr>
      <w:rFonts w:asciiTheme="majorHAnsi" w:eastAsiaTheme="majorEastAsia" w:hAnsiTheme="majorHAnsi" w:cstheme="majorBidi" w:ascii="Georgia" w:hAnsi="Georgia"/>
      <w:i/>
      <w:iCs/>
      <w:color w:val="5E6A73"/>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after="140"/>
    </w:pPr>
    <w:rPr>
      <w:rFonts w:ascii="Arial" w:hAnsi="Arial"/>
      <w:b/>
      <w:color w:val="147D7E"/>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image" Target="media/image1.png"/><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TrueScale Playbook Executive Worksheet Package</dc:title>
  <dc:subject>Editable executive tools and completed hypothetical examples</dc:subject>
  <dc:creator>TrueScale Advisory</dc:creator>
  <cp:keywords/>
  <dc:description>generated by python-docx</dc:description>
  <cp:lastModifiedBy/>
  <cp:revision>1</cp:revision>
  <dcterms:created xsi:type="dcterms:W3CDTF">2013-12-23T23:15:00Z</dcterms:created>
  <dcterms:modified xsi:type="dcterms:W3CDTF">2013-12-23T23:15:00Z</dcterms:modified>
  <cp:category/>
</cp:coreProperties>
</file>